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83" w:lineRule="exact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ПОЯСНИТЕЛЬНАЯ ЗАПИСКА</w:t>
      </w:r>
      <w:r/>
    </w:p>
    <w:p>
      <w:pPr>
        <w:jc w:val="center"/>
        <w:spacing w:after="0" w:line="283" w:lineRule="exact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проекту закона Алтайского края </w:t>
      </w:r>
      <w:r/>
    </w:p>
    <w:p>
      <w:pPr>
        <w:jc w:val="center"/>
        <w:spacing w:after="0" w:line="283" w:lineRule="exact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 внесении изменений в статью 2 закона Алтайского края</w:t>
      </w:r>
      <w:r>
        <w:rPr>
          <w:rFonts w:ascii="Liberation Serif" w:hAnsi="Liberation Serif" w:cs="Liberation Serif"/>
          <w:sz w:val="28"/>
          <w:szCs w:val="28"/>
        </w:rPr>
        <w:br/>
        <w:t xml:space="preserve"> «О регулировании отдельных отношений в области оборота земель сельскохозяйственного назначения» 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  <w:t xml:space="preserve">Федеральным законом от 14.07.2022 № 316-ФЗ «О внесении изменений в отдельные законодательные акты Российской Федерации» внесены изменения в том числе в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Федеральный </w:t>
      </w:r>
      <w:hyperlink r:id="rId11" w:tooltip="consultantplus://offline/ref=51FB079AB93DA7152B9D939BC7256A9AF7D4432C034DFCB59DB096D3C1F60991E585434F041D40C727008F664EqCr0E" w:history="1">
        <w:r>
          <w:rPr>
            <w:rFonts w:ascii="Liberation Serif" w:hAnsi="Liberation Serif" w:eastAsia="Times New Roman" w:cs="Liberation Serif"/>
            <w:sz w:val="28"/>
            <w:szCs w:val="28"/>
          </w:rPr>
          <w:t xml:space="preserve">закон</w:t>
        </w:r>
      </w:hyperlink>
      <w:r>
        <w:rPr>
          <w:rFonts w:ascii="Liberation Serif" w:hAnsi="Liberation Serif" w:eastAsia="Times New Roman" w:cs="Liberation Serif"/>
          <w:sz w:val="28"/>
          <w:szCs w:val="28"/>
        </w:rPr>
        <w:t xml:space="preserve"> от 24.07.2002 № 101-ФЗ               «Об обороте земель сельскохозяйственного назначения» (далее - «Закон        № 101-ФЗ»)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. </w:t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Так, подпунк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том 1 пункта 7 статьи 10.1 Закона № 101-ФЗ предусмотрено, что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собственности, без проведения торгов принимаетс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я также в случае, если площадь земельного участка, указанного в заявлении о предоставлении такого земельного участка гражданину или крестьянскому (фермерск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ому) хозяйству для осуществления крестьянским (фермерским) хозяйством его деятельности (далее - «земельный участок, указанный в заявлении»),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ости, с учетом земельного участка,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деятельности.</w:t>
      </w:r>
      <w:r>
        <w:rPr>
          <w:rFonts w:ascii="Liberation Serif" w:hAnsi="Liberation Serif" w:cs="Liberation Serif"/>
          <w:sz w:val="28"/>
          <w:szCs w:val="28"/>
        </w:rPr>
        <w:t xml:space="preserve"> Указанные изменения вступают в силу                с 01.01.2023.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  <w:t xml:space="preserve">В целях реализации данного положения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Закона № 101-ФЗ</w:t>
      </w:r>
      <w:r>
        <w:rPr>
          <w:rFonts w:ascii="Liberation Serif" w:hAnsi="Liberation Serif" w:cs="Liberation Serif"/>
          <w:sz w:val="28"/>
          <w:szCs w:val="28"/>
        </w:rPr>
        <w:t xml:space="preserve"> настоящим проектом закона предлагается установить предельные (минимальный и максимальный) размеры предоставляемых земельных участков.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По данным Управления Федеральной службы государственной статистики по Алтайскому краю и Республике Алтай и Управления Федеральной службы государственной регистрации, кадастра и картографии по Алтайскому краю по состоянию на 01.01.2022 средний р</w:t>
      </w:r>
      <w:r>
        <w:rPr>
          <w:rFonts w:ascii="Liberation Serif" w:hAnsi="Liberation Serif" w:cs="Liberation Serif"/>
          <w:sz w:val="28"/>
          <w:szCs w:val="28"/>
        </w:rPr>
        <w:t xml:space="preserve">азмер сенокосов в Алтайском крае, приходящихся на одно фермерское хозяйство и индивидуального предпринимателя, составляет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24,8 га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связи с этим предлагается определить максимальный размер земельных участков из земель сельскохозяйственного назначения, находящихся в государственной или муниципальной собственности, предоставляемых без торго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в</w:t>
      </w:r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 и</w:t>
      </w:r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ли</w:t>
      </w:r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 предоставленных ранее, </w:t>
      </w:r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с учетом площади предоставляем</w:t>
      </w:r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ых</w:t>
      </w:r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 вновь участк</w:t>
      </w:r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ов</w:t>
      </w:r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для осуществления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крестьянским (фермерским) хозяйством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его деятельности - 25 га.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стимулирования перехода (регистрации) товарных личных подсобных хозяйств граждан в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крестьянские (фермерские) хозяйства и 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ввиду того, что законом Алтайского края от 07.11.2006 № 111-ЗС «О максимальном размере общей площади земельных участков, которые могут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находиться одновременно на праве собственности и (или) ином праве у граждан, ведущих личное подсобное хозяйство» установлен максимальный размер таких земельных участков 2,5 га, предлагается установить предельный минимальный размер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площади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земельных участков, находящихся в государственной или муниципальной собственности</w:t>
      </w:r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,</w:t>
      </w:r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предоставляемых без проведения торгов или предоставленных ранее, с учетом площади предоставляемых вновь участков </w:t>
      </w:r>
      <w:bookmarkStart w:id="0" w:name="_GoBack"/>
      <w:r>
        <w:rPr>
          <w:highlight w:val="white"/>
        </w:rPr>
      </w:r>
      <w:bookmarkEnd w:id="0"/>
      <w:r>
        <w:rPr>
          <w:rFonts w:ascii="Liberation Serif" w:hAnsi="Liberation Serif" w:eastAsia="Times New Roman" w:cs="Liberation Serif"/>
          <w:sz w:val="28"/>
          <w:szCs w:val="28"/>
          <w:highlight w:val="white"/>
          <w:lang w:eastAsia="ru-RU"/>
        </w:rPr>
        <w:t xml:space="preserve">для осуществления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white"/>
        </w:rPr>
        <w:t xml:space="preserve">крес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тьянским (фермерским) хозяйством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его деятельности - 2,6 га.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Реализация закона не повлечет дополнительных расходов из средств краевого бюджета.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>
        <w:trPr>
          <w:trHeight w:val="529"/>
        </w:trPr>
        <w:tc>
          <w:tcPr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Губернатор Алтайского края </w:t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ind w:right="1025"/>
              <w:jc w:val="right"/>
              <w:spacing w:after="0" w:line="240" w:lineRule="auto"/>
              <w:tabs>
                <w:tab w:val="left" w:pos="3544" w:leader="none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В.П. Томенко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постоянного комитета Алтайского краевого Законодательного Собрания по аграрной политике, природопользованию и экологии</w:t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С.Н. Серов 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  <w:jc w:val="right"/>
    </w:pPr>
    <w:fldSimple w:instr="PAGE \* MERGEFORMAT">
      <w:r>
        <w:t xml:space="preserve">1</w:t>
      </w:r>
    </w:fldSimple>
    <w:r/>
    <w:r/>
  </w:p>
  <w:p>
    <w:pPr>
      <w:pStyle w:val="68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  <w:rPr>
      <w:rFonts w:asciiTheme="minorHAnsi" w:hAnsiTheme="minorHAnsi" w:eastAsiaTheme="minorHAnsi" w:cstheme="minorBidi"/>
      <w:sz w:val="22"/>
      <w:szCs w:val="22"/>
    </w:rPr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Название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По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>
    <w:name w:val="Table Grid"/>
    <w:basedOn w:val="66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9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0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1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2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3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4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3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4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5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6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2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3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4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5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6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7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6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7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8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9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0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1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0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1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2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3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4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15">
    <w:name w:val="footnote text"/>
    <w:basedOn w:val="651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paragraph" w:styleId="832">
    <w:name w:val="Balloon Text"/>
    <w:basedOn w:val="651"/>
    <w:link w:val="83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3" w:customStyle="1">
    <w:name w:val="Текст выноски Знак"/>
    <w:basedOn w:val="661"/>
    <w:link w:val="832"/>
    <w:uiPriority w:val="99"/>
    <w:semiHidden/>
    <w:rPr>
      <w:rFonts w:ascii="Segoe UI" w:hAnsi="Segoe UI" w:cs="Segoe UI" w:eastAsiaTheme="minorHAnsi"/>
      <w:sz w:val="18"/>
      <w:szCs w:val="18"/>
    </w:rPr>
  </w:style>
  <w:style w:type="paragraph" w:styleId="834" w:customStyle="1">
    <w:name w:val="doc_link"/>
    <w:basedOn w:val="6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5">
    <w:name w:val="Hyperlink"/>
    <w:basedOn w:val="661"/>
    <w:uiPriority w:val="99"/>
    <w:semiHidden/>
    <w:unhideWhenUsed/>
    <w:rPr>
      <w:color w:val="0000ff"/>
      <w:u w:val="single"/>
    </w:rPr>
  </w:style>
  <w:style w:type="character" w:styleId="836">
    <w:name w:val="Strong"/>
    <w:basedOn w:val="661"/>
    <w:uiPriority w:val="22"/>
    <w:qFormat/>
    <w:rPr>
      <w:b/>
      <w:bCs/>
    </w:rPr>
  </w:style>
  <w:style w:type="paragraph" w:styleId="837" w:customStyle="1">
    <w:name w:val="rev_ann"/>
    <w:basedOn w:val="6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8">
    <w:name w:val="Normal (Web)"/>
    <w:basedOn w:val="65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hyperlink" Target="consultantplus://offline/ref=51FB079AB93DA7152B9D939BC7256A9AF7D4432C034DFCB59DB096D3C1F60991E585434F041D40C727008F664EqCr0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 Алексей Владимирович</dc:creator>
  <cp:revision>6</cp:revision>
  <dcterms:created xsi:type="dcterms:W3CDTF">2022-11-30T05:49:00Z</dcterms:created>
  <dcterms:modified xsi:type="dcterms:W3CDTF">2022-11-30T11:03:30Z</dcterms:modified>
</cp:coreProperties>
</file>